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3FE6">
      <w:pPr>
        <w:pStyle w:val="15"/>
        <w:jc w:val="center"/>
        <w:rPr>
          <w:b/>
          <w:sz w:val="40"/>
          <w:szCs w:val="21"/>
        </w:rPr>
      </w:pPr>
      <w:bookmarkStart w:id="0" w:name="_GoBack"/>
      <w:bookmarkEnd w:id="0"/>
    </w:p>
    <w:p w14:paraId="3F7E123A">
      <w:pPr>
        <w:pStyle w:val="15"/>
        <w:jc w:val="center"/>
        <w:rPr>
          <w:rFonts w:hint="default" w:cstheme="minorBidi"/>
          <w:color w:val="FF0000"/>
          <w:kern w:val="2"/>
          <w:sz w:val="32"/>
          <w:szCs w:val="21"/>
        </w:rPr>
      </w:pPr>
      <w:r>
        <w:rPr>
          <w:rFonts w:hint="eastAsia" w:cs="Times New Roman"/>
          <w:b/>
          <w:color w:val="000000"/>
          <w:sz w:val="40"/>
          <w:szCs w:val="21"/>
          <w:lang w:val="en-US" w:eastAsia="zh-CN"/>
        </w:rPr>
        <w:t>盐城清能灌东120MW渔光互补发电项目材料检测服务</w:t>
      </w:r>
    </w:p>
    <w:p w14:paraId="26D80786">
      <w:pPr>
        <w:pStyle w:val="15"/>
        <w:rPr>
          <w:rFonts w:hint="default" w:cstheme="minorBidi"/>
          <w:color w:val="FF0000"/>
          <w:kern w:val="2"/>
          <w:szCs w:val="21"/>
        </w:rPr>
      </w:pPr>
    </w:p>
    <w:p w14:paraId="7A4EACB0">
      <w:pPr>
        <w:pStyle w:val="15"/>
        <w:rPr>
          <w:rFonts w:hint="default" w:cstheme="minorBidi"/>
          <w:color w:val="FF0000"/>
          <w:kern w:val="2"/>
          <w:szCs w:val="21"/>
        </w:rPr>
      </w:pPr>
    </w:p>
    <w:p w14:paraId="1023FA43">
      <w:pPr>
        <w:pStyle w:val="15"/>
        <w:rPr>
          <w:rFonts w:hint="default" w:cstheme="minorBidi"/>
          <w:color w:val="FF0000"/>
          <w:kern w:val="2"/>
          <w:szCs w:val="21"/>
        </w:rPr>
      </w:pPr>
    </w:p>
    <w:p w14:paraId="43D56456">
      <w:pPr>
        <w:pStyle w:val="15"/>
        <w:rPr>
          <w:rFonts w:hint="default" w:cstheme="minorBidi"/>
          <w:color w:val="FF0000"/>
          <w:kern w:val="2"/>
          <w:szCs w:val="21"/>
        </w:rPr>
      </w:pPr>
    </w:p>
    <w:p w14:paraId="6A88A583">
      <w:pPr>
        <w:pStyle w:val="15"/>
        <w:rPr>
          <w:rFonts w:hint="default" w:cstheme="minorBidi"/>
          <w:color w:val="FF0000"/>
          <w:kern w:val="2"/>
          <w:szCs w:val="21"/>
        </w:rPr>
      </w:pPr>
    </w:p>
    <w:p w14:paraId="176F799F">
      <w:pPr>
        <w:pStyle w:val="15"/>
        <w:rPr>
          <w:rFonts w:hint="default" w:cstheme="minorBidi"/>
          <w:color w:val="FF0000"/>
          <w:kern w:val="2"/>
          <w:szCs w:val="21"/>
        </w:rPr>
      </w:pPr>
    </w:p>
    <w:p w14:paraId="0AD73F55">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4E7B4105">
      <w:pPr>
        <w:pStyle w:val="15"/>
        <w:jc w:val="center"/>
        <w:rPr>
          <w:rFonts w:hint="default" w:cstheme="minorBidi"/>
          <w:color w:val="000000" w:themeColor="text1"/>
          <w:kern w:val="2"/>
          <w:sz w:val="56"/>
          <w:szCs w:val="21"/>
          <w14:textFill>
            <w14:solidFill>
              <w14:schemeClr w14:val="tx1"/>
            </w14:solidFill>
          </w14:textFill>
        </w:rPr>
      </w:pPr>
    </w:p>
    <w:p w14:paraId="6B9C89EB">
      <w:pPr>
        <w:pStyle w:val="15"/>
        <w:jc w:val="center"/>
        <w:rPr>
          <w:rFonts w:hint="default" w:cstheme="minorBidi"/>
          <w:color w:val="000000" w:themeColor="text1"/>
          <w:kern w:val="2"/>
          <w:sz w:val="56"/>
          <w:szCs w:val="21"/>
          <w14:textFill>
            <w14:solidFill>
              <w14:schemeClr w14:val="tx1"/>
            </w14:solidFill>
          </w14:textFill>
        </w:rPr>
      </w:pPr>
    </w:p>
    <w:p w14:paraId="328C117C">
      <w:pPr>
        <w:pStyle w:val="15"/>
        <w:jc w:val="center"/>
        <w:rPr>
          <w:rFonts w:hint="default" w:cstheme="minorBidi"/>
          <w:color w:val="000000" w:themeColor="text1"/>
          <w:kern w:val="2"/>
          <w:sz w:val="56"/>
          <w:szCs w:val="21"/>
          <w14:textFill>
            <w14:solidFill>
              <w14:schemeClr w14:val="tx1"/>
            </w14:solidFill>
          </w14:textFill>
        </w:rPr>
      </w:pPr>
    </w:p>
    <w:p w14:paraId="147E4851">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2C231E9B">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971287F">
      <w:pPr>
        <w:pStyle w:val="15"/>
        <w:rPr>
          <w:rFonts w:hint="default" w:cstheme="minorBidi"/>
          <w:color w:val="FF0000"/>
          <w:kern w:val="2"/>
          <w:szCs w:val="21"/>
        </w:rPr>
      </w:pPr>
    </w:p>
    <w:p w14:paraId="3FD6F242">
      <w:pPr>
        <w:widowControl/>
        <w:jc w:val="left"/>
        <w:rPr>
          <w:rFonts w:ascii="宋体" w:hAnsi="宋体" w:eastAsia="宋体"/>
          <w:color w:val="FF0000"/>
          <w:sz w:val="28"/>
        </w:rPr>
      </w:pPr>
      <w:r>
        <w:rPr>
          <w:rFonts w:ascii="宋体" w:hAnsi="宋体" w:eastAsia="宋体"/>
          <w:color w:val="FF0000"/>
          <w:sz w:val="28"/>
        </w:rPr>
        <w:br w:type="page"/>
      </w:r>
    </w:p>
    <w:p w14:paraId="723AD3C8">
      <w:pPr>
        <w:widowControl/>
        <w:spacing w:after="312" w:afterLines="100"/>
        <w:jc w:val="left"/>
        <w:rPr>
          <w:rFonts w:ascii="宋体" w:hAnsi="宋体" w:eastAsia="宋体"/>
          <w:b/>
        </w:rPr>
      </w:pPr>
      <w:r>
        <w:rPr>
          <w:rFonts w:hint="eastAsia" w:ascii="宋体" w:hAnsi="宋体" w:eastAsia="宋体"/>
          <w:b/>
        </w:rPr>
        <w:t>附件1：</w:t>
      </w:r>
    </w:p>
    <w:p w14:paraId="656C2B57">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67E0154D">
      <w:pPr>
        <w:pStyle w:val="23"/>
        <w:widowControl/>
        <w:spacing w:line="410" w:lineRule="atLeast"/>
        <w:jc w:val="center"/>
        <w:rPr>
          <w:rFonts w:ascii="宋体" w:hAnsi="宋体" w:cs="宋体"/>
          <w:b/>
          <w:bCs/>
          <w:kern w:val="0"/>
          <w:sz w:val="24"/>
          <w:szCs w:val="44"/>
        </w:rPr>
      </w:pPr>
    </w:p>
    <w:p w14:paraId="474B99E1">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盐城市国兴新能源有限公司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0851D10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color w:val="auto"/>
          <w:sz w:val="24"/>
          <w:szCs w:val="21"/>
          <w:lang w:val="en-US" w:eastAsia="zh-CN"/>
        </w:rPr>
        <w:t>盐城清能灌东120MW渔光互补发电项目材料检测服务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lang w:val="en-US" w:eastAsia="zh-CN"/>
        </w:rPr>
        <w:t>收费标准的</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single"/>
          <w:lang w:val="en-US" w:eastAsia="zh-CN"/>
        </w:rPr>
        <w:t>%</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43A10143">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64F4AB3">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07C215A7">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58B80A4A">
            <w:pPr>
              <w:pStyle w:val="24"/>
              <w:jc w:val="center"/>
            </w:pPr>
            <w:r>
              <w:rPr>
                <w:rFonts w:hint="eastAsia"/>
              </w:rPr>
              <w:t>投标报价（</w:t>
            </w:r>
            <w:r>
              <w:rPr>
                <w:rFonts w:hint="eastAsia"/>
                <w:lang w:val="en-US" w:eastAsia="zh-CN"/>
              </w:rPr>
              <w:t>%</w:t>
            </w:r>
            <w:r>
              <w:rPr>
                <w:rFonts w:hint="eastAsia"/>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2A94538F">
            <w:pPr>
              <w:pStyle w:val="24"/>
              <w:jc w:val="center"/>
            </w:pPr>
            <w:r>
              <w:t>备注</w:t>
            </w:r>
          </w:p>
        </w:tc>
      </w:tr>
      <w:tr w14:paraId="52C9A7A5">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0880301">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3B7CFDF2">
            <w:pPr>
              <w:pStyle w:val="24"/>
              <w:jc w:val="center"/>
              <w:rPr>
                <w:rFonts w:hint="eastAsia" w:eastAsia="宋体"/>
                <w:lang w:eastAsia="zh-CN"/>
              </w:rPr>
            </w:pPr>
            <w:r>
              <w:rPr>
                <w:rFonts w:hint="eastAsia" w:ascii="宋体" w:hAnsi="宋体"/>
                <w:color w:val="auto"/>
                <w:sz w:val="24"/>
                <w:szCs w:val="21"/>
                <w:lang w:val="en-US" w:eastAsia="zh-CN"/>
              </w:rPr>
              <w:t>材料检测服务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50FA034E">
            <w:pPr>
              <w:pStyle w:val="23"/>
              <w:snapToGrid w:val="0"/>
              <w:spacing w:line="360" w:lineRule="auto"/>
              <w:jc w:val="center"/>
              <w:rPr>
                <w:rFonts w:hint="eastAsia" w:ascii="宋体" w:hAnsi="宋体" w:eastAsia="宋体" w:cs="宋体"/>
                <w:kern w:val="0"/>
                <w:sz w:val="24"/>
                <w:lang w:val="en-US" w:eastAsia="zh-CN"/>
              </w:rPr>
            </w:pP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31DF72F7">
            <w:pPr>
              <w:pStyle w:val="24"/>
            </w:pPr>
            <w:r>
              <w:t>发票类型：</w:t>
            </w:r>
          </w:p>
          <w:p w14:paraId="07AFC3A0">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p>
        </w:tc>
      </w:tr>
      <w:tr w14:paraId="6A1DBEEA">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348A833">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7BB3E31">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6186279E">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80034D8">
            <w:pPr>
              <w:pStyle w:val="24"/>
              <w:snapToGrid w:val="0"/>
              <w:jc w:val="center"/>
            </w:pPr>
          </w:p>
        </w:tc>
      </w:tr>
    </w:tbl>
    <w:p w14:paraId="4A7B12A1">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3B219559">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5505AE26">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6E32572">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56D4DB5F">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3A5C9465">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5EC05CD2">
      <w:pPr>
        <w:pStyle w:val="23"/>
        <w:widowControl/>
        <w:spacing w:line="400" w:lineRule="exact"/>
        <w:jc w:val="left"/>
        <w:rPr>
          <w:rFonts w:ascii="宋体" w:hAnsi="宋体" w:cs="宋体"/>
          <w:kern w:val="0"/>
          <w:sz w:val="24"/>
        </w:rPr>
      </w:pPr>
    </w:p>
    <w:p w14:paraId="56129014">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3A341968">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22154C9">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3316CA96">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78648620">
      <w:pPr>
        <w:rPr>
          <w:rFonts w:ascii="宋体" w:hAnsi="宋体" w:cs="宋体"/>
          <w:b/>
          <w:bCs/>
          <w:sz w:val="24"/>
        </w:rPr>
      </w:pPr>
    </w:p>
    <w:p w14:paraId="09C72E88">
      <w:pPr>
        <w:rPr>
          <w:rFonts w:ascii="宋体" w:hAnsi="宋体" w:cs="宋体"/>
          <w:b/>
          <w:bCs/>
          <w:sz w:val="24"/>
        </w:rPr>
      </w:pPr>
    </w:p>
    <w:p w14:paraId="6AB5861C">
      <w:pPr>
        <w:rPr>
          <w:rFonts w:hint="eastAsia" w:ascii="宋体" w:hAnsi="宋体" w:cs="宋体"/>
          <w:b/>
          <w:bCs/>
          <w:sz w:val="24"/>
        </w:rPr>
      </w:pPr>
    </w:p>
    <w:p w14:paraId="23318B0E">
      <w:pPr>
        <w:rPr>
          <w:rFonts w:ascii="宋体" w:hAnsi="宋体" w:cs="宋体"/>
          <w:b/>
          <w:bCs/>
          <w:sz w:val="24"/>
        </w:rPr>
      </w:pPr>
      <w:r>
        <w:rPr>
          <w:rFonts w:hint="eastAsia" w:ascii="宋体" w:hAnsi="宋体" w:cs="宋体"/>
          <w:b/>
          <w:bCs/>
          <w:sz w:val="24"/>
        </w:rPr>
        <w:t>附件2：</w:t>
      </w:r>
    </w:p>
    <w:p w14:paraId="1AB6238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3ED84903">
      <w:pPr>
        <w:spacing w:line="500" w:lineRule="exact"/>
        <w:rPr>
          <w:rFonts w:ascii="宋体" w:hAnsi="宋体" w:eastAsia="宋体" w:cs="宋体"/>
          <w:sz w:val="28"/>
        </w:rPr>
      </w:pPr>
    </w:p>
    <w:p w14:paraId="27965BE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78B5224B">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3D43EC38">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D3B150D">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A8413EB">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DE45CFD">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087B0E71">
      <w:pPr>
        <w:spacing w:line="500" w:lineRule="exact"/>
        <w:ind w:firstLine="480" w:firstLineChars="200"/>
        <w:rPr>
          <w:rFonts w:ascii="宋体" w:hAnsi="宋体" w:eastAsia="宋体" w:cs="宋体"/>
          <w:sz w:val="24"/>
        </w:rPr>
      </w:pPr>
    </w:p>
    <w:p w14:paraId="5CF289CD">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v:textbox>
                <w10:wrap type="square"/>
              </v:shape>
            </w:pict>
          </mc:Fallback>
        </mc:AlternateContent>
      </w:r>
    </w:p>
    <w:p w14:paraId="43C098A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v:textbox>
                <w10:wrap type="square"/>
              </v:shape>
            </w:pict>
          </mc:Fallback>
        </mc:AlternateContent>
      </w:r>
    </w:p>
    <w:p w14:paraId="5D2A3BCF">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438044D">
      <w:pPr>
        <w:spacing w:line="500" w:lineRule="exact"/>
        <w:ind w:firstLine="480" w:firstLineChars="200"/>
        <w:rPr>
          <w:rFonts w:ascii="宋体" w:hAnsi="宋体" w:eastAsia="宋体" w:cs="宋体"/>
          <w:sz w:val="24"/>
        </w:rPr>
      </w:pPr>
    </w:p>
    <w:p w14:paraId="2D92AE9B">
      <w:pPr>
        <w:spacing w:line="500" w:lineRule="exact"/>
        <w:ind w:firstLine="480" w:firstLineChars="200"/>
        <w:rPr>
          <w:rFonts w:ascii="宋体" w:hAnsi="宋体" w:eastAsia="宋体" w:cs="宋体"/>
          <w:sz w:val="24"/>
        </w:rPr>
      </w:pPr>
    </w:p>
    <w:p w14:paraId="2D1ED33F">
      <w:pPr>
        <w:spacing w:line="500" w:lineRule="exact"/>
        <w:ind w:firstLine="480" w:firstLineChars="200"/>
        <w:rPr>
          <w:rFonts w:ascii="宋体" w:hAnsi="宋体" w:eastAsia="宋体" w:cs="宋体"/>
          <w:sz w:val="24"/>
        </w:rPr>
      </w:pPr>
    </w:p>
    <w:p w14:paraId="2114E3D6">
      <w:pPr>
        <w:spacing w:line="500" w:lineRule="exact"/>
        <w:ind w:firstLine="480" w:firstLineChars="200"/>
        <w:rPr>
          <w:rFonts w:ascii="宋体" w:hAnsi="宋体" w:eastAsia="宋体" w:cs="宋体"/>
          <w:sz w:val="24"/>
        </w:rPr>
      </w:pPr>
    </w:p>
    <w:p w14:paraId="388A9580">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07426CD3">
      <w:pPr>
        <w:spacing w:line="500" w:lineRule="exact"/>
        <w:ind w:firstLine="3840" w:firstLineChars="1600"/>
        <w:rPr>
          <w:rFonts w:ascii="宋体" w:hAnsi="宋体" w:eastAsia="宋体" w:cs="宋体"/>
          <w:sz w:val="24"/>
        </w:rPr>
      </w:pPr>
    </w:p>
    <w:p w14:paraId="1EB0C806">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487438B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C2589F6">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11194827">
      <w:pPr>
        <w:spacing w:line="360" w:lineRule="auto"/>
        <w:jc w:val="center"/>
        <w:rPr>
          <w:rFonts w:ascii="宋体" w:hAnsi="宋体" w:eastAsia="宋体" w:cs="宋体"/>
          <w:sz w:val="44"/>
        </w:rPr>
      </w:pPr>
    </w:p>
    <w:p w14:paraId="62C7356D">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5C2D04D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v:textbox>
                <w10:wrap type="square"/>
              </v:shape>
            </w:pict>
          </mc:Fallback>
        </mc:AlternateContent>
      </w:r>
    </w:p>
    <w:p w14:paraId="58FEB37C">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v:textbox>
                <w10:wrap type="square"/>
              </v:shape>
            </w:pict>
          </mc:Fallback>
        </mc:AlternateContent>
      </w:r>
    </w:p>
    <w:p w14:paraId="0F360F63">
      <w:pPr>
        <w:spacing w:line="360" w:lineRule="auto"/>
        <w:rPr>
          <w:rFonts w:ascii="宋体" w:hAnsi="宋体" w:eastAsia="宋体" w:cs="宋体"/>
          <w:sz w:val="24"/>
        </w:rPr>
      </w:pPr>
    </w:p>
    <w:p w14:paraId="5414AB4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4ECAB5DB">
      <w:pPr>
        <w:spacing w:line="360" w:lineRule="auto"/>
        <w:rPr>
          <w:rFonts w:ascii="宋体" w:hAnsi="宋体" w:eastAsia="宋体" w:cs="宋体"/>
          <w:sz w:val="24"/>
        </w:rPr>
      </w:pPr>
      <w:r>
        <w:rPr>
          <w:rFonts w:hint="eastAsia" w:ascii="宋体" w:hAnsi="宋体" w:eastAsia="宋体" w:cs="宋体"/>
          <w:sz w:val="24"/>
        </w:rPr>
        <w:t xml:space="preserve">    联系电话：</w:t>
      </w:r>
    </w:p>
    <w:p w14:paraId="2B155CFF">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3BAED35B">
      <w:pPr>
        <w:spacing w:line="360" w:lineRule="auto"/>
        <w:jc w:val="center"/>
        <w:rPr>
          <w:rFonts w:ascii="宋体" w:hAnsi="宋体" w:eastAsia="宋体" w:cs="宋体"/>
          <w:sz w:val="24"/>
        </w:rPr>
      </w:pPr>
    </w:p>
    <w:p w14:paraId="4F815A9F">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2E2EC7AA">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6C719AEE">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F2225B">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4087965">
      <w:pPr>
        <w:spacing w:line="360" w:lineRule="auto"/>
        <w:ind w:right="480" w:firstLine="3960" w:firstLineChars="1650"/>
        <w:rPr>
          <w:rFonts w:ascii="宋体" w:hAnsi="宋体" w:eastAsia="宋体" w:cs="宋体"/>
          <w:sz w:val="24"/>
        </w:rPr>
      </w:pPr>
    </w:p>
    <w:p w14:paraId="1AA408D7">
      <w:pPr>
        <w:spacing w:line="360" w:lineRule="auto"/>
        <w:ind w:right="480" w:firstLine="3960" w:firstLineChars="1650"/>
        <w:rPr>
          <w:rFonts w:ascii="宋体" w:hAnsi="宋体" w:cs="宋体"/>
          <w:sz w:val="24"/>
        </w:rPr>
      </w:pPr>
    </w:p>
    <w:p w14:paraId="0E42543A">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709FE4D2">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《建设工程质量检测机构资质证书》（核定项目应同时包含见证取样检测、地基基础工程、主体结构工程现场检测）</w:t>
      </w:r>
      <w:r>
        <w:rPr>
          <w:rFonts w:hint="eastAsia" w:ascii="宋体" w:hAnsi="宋体" w:eastAsia="宋体" w:cs="宋体"/>
          <w:b/>
          <w:sz w:val="28"/>
          <w:szCs w:val="44"/>
          <w:lang w:eastAsia="zh-CN"/>
        </w:rPr>
        <w:t>、</w:t>
      </w:r>
      <w:r>
        <w:rPr>
          <w:rFonts w:hint="eastAsia" w:ascii="宋体" w:hAnsi="宋体" w:eastAsia="宋体" w:cs="宋体"/>
          <w:b/>
          <w:sz w:val="28"/>
          <w:szCs w:val="44"/>
        </w:rPr>
        <w:t>《建设工程质量检测机构备案证书》（对应备案检测中的相关内容）</w:t>
      </w:r>
      <w:r>
        <w:rPr>
          <w:rFonts w:hint="eastAsia" w:ascii="宋体" w:hAnsi="宋体" w:eastAsia="宋体" w:cs="宋体"/>
          <w:b/>
          <w:sz w:val="28"/>
          <w:szCs w:val="44"/>
          <w:lang w:eastAsia="zh-CN"/>
        </w:rPr>
        <w:t>、</w:t>
      </w:r>
      <w:r>
        <w:rPr>
          <w:rFonts w:hint="eastAsia" w:ascii="宋体" w:hAnsi="宋体" w:eastAsia="宋体" w:cs="宋体"/>
          <w:b/>
          <w:sz w:val="28"/>
          <w:szCs w:val="44"/>
        </w:rPr>
        <w:t>省级及以上技术监督部门颁发的检验检测机构计量认证资质证书（盖公章）</w:t>
      </w:r>
    </w:p>
    <w:p w14:paraId="355FD3F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69C6F8CA">
      <w:pPr>
        <w:rPr>
          <w:rFonts w:ascii="宋体" w:hAnsi="宋体" w:eastAsia="宋体"/>
          <w:sz w:val="24"/>
          <w:szCs w:val="21"/>
        </w:rPr>
      </w:pPr>
      <w:r>
        <w:rPr>
          <w:rFonts w:ascii="宋体" w:hAnsi="宋体" w:eastAsia="宋体"/>
          <w:sz w:val="24"/>
          <w:szCs w:val="21"/>
        </w:rPr>
        <w:br w:type="page"/>
      </w:r>
    </w:p>
    <w:p w14:paraId="2FB707AB">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附件二：合同示范文本</w:t>
      </w:r>
    </w:p>
    <w:p w14:paraId="092C4C73">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合同条款及格式</w:t>
      </w:r>
    </w:p>
    <w:p w14:paraId="63644103">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委托方（以下简称甲方）</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E59D09D">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服务方（以下简称乙方）：</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1DF0D9E">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经甲、乙双方友好协商，甲方负责实施的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项目由乙方负责材料检测服务，特订立合同。 </w:t>
      </w:r>
    </w:p>
    <w:p w14:paraId="73B71833">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一、服务范围及服务内容 </w:t>
      </w:r>
    </w:p>
    <w:p w14:paraId="4DA9C1C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招标范围：主要包括（但不限于）①见证取样检测（水泥物理力学性能、钢筋力学性能、砂石常规、砼及砂浆性能、简易土工、混凝土掺加剂、防水材料、沥青检验等所有常规检测项目的检测）；②专项目检测：地基基础工程、主体结构检测(混凝土结构及构件实体、后置预埋件、砌体结构、预应力检测)、钢结构工程检测、建筑节能材料检测等；③为工程验收所必须的其它所有检测服务。招标人保留对工作量进行变更或增减的权利。如乙方无检测资格但本项目需检测的项目，须由乙方负责委托完成相应检测及相关手续的备案。 </w:t>
      </w:r>
    </w:p>
    <w:p w14:paraId="0415F78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2、质量标准：按设计的施工图纸及国家现行的检测规范和标准进行建设工程检测服务，成果资料真实可靠，完全符合国家检测合格标准。 </w:t>
      </w:r>
    </w:p>
    <w:p w14:paraId="31E66D0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3、工期要求：本项目按施工进度需多次进场检测，当招标人通知进行检测时，中标人必须在 24 小时内到达施工现场进行检测。每延迟一小时，甲方有权收取【1000】元的违约金，超过【8】小时的，甲方有权解除合同并要求乙方承担合同价款【5】%的违约金责任，违约金不足以弥补损失的，乙方应当予以补足。 </w:t>
      </w:r>
    </w:p>
    <w:p w14:paraId="07C13A60">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二、双方的责任义务 </w:t>
      </w:r>
    </w:p>
    <w:p w14:paraId="03F8496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1、甲方的主要义务： </w:t>
      </w:r>
    </w:p>
    <w:p w14:paraId="5FB97C1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1.1 按照本合同约定支付费用。 </w:t>
      </w:r>
    </w:p>
    <w:p w14:paraId="29B43A3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1.2 现场检测时提供必要的协助。 </w:t>
      </w:r>
    </w:p>
    <w:p w14:paraId="29E040D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2、乙方的主要义务： </w:t>
      </w:r>
    </w:p>
    <w:p w14:paraId="68FD1B78">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 按期完成甲方委托各项检测；并提交检测报告。并对检测数据的正确性、准确性负责。 </w:t>
      </w:r>
    </w:p>
    <w:p w14:paraId="6AB2D5F1">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 严格按国家规范、标准进行检测，确保数据公正、准确；必要时提供检测方案。 </w:t>
      </w:r>
    </w:p>
    <w:p w14:paraId="7A16E7A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2.3 协助对甲方提交的样品和技术资料进行保密。 </w:t>
      </w:r>
    </w:p>
    <w:p w14:paraId="4766A78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2.4 向甲方提供必要的检测咨询服务。 </w:t>
      </w:r>
    </w:p>
    <w:p w14:paraId="513F44C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2.5 按期及时出具检测报告。 </w:t>
      </w:r>
    </w:p>
    <w:p w14:paraId="187386A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2.6 乙方检测项目必须在其资质范围内；否则所造成的违约责任由乙方承担。 </w:t>
      </w:r>
    </w:p>
    <w:p w14:paraId="6E15FAC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2.7 乙方应严格遵守国家及地方对建设工程质量试验检测的有关规定。 </w:t>
      </w:r>
    </w:p>
    <w:p w14:paraId="3903BA7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2.8 乙方须按照国家规范、规程和地方法规等相关技术规范、规定进行本工程试验检测工作。 </w:t>
      </w:r>
    </w:p>
    <w:p w14:paraId="5A44779E">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2.9 乙方每月应向甲方书面提供一期试验检测工作情况报告，并对其完整性、正确性负责。特殊情况应及时提供专题报告；报告的具体格式、内容、份数等必须符合甲方的要求。 </w:t>
      </w:r>
    </w:p>
    <w:p w14:paraId="5085952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另外，为了实行试验检测的计算机管理，试验检测报告均应同时上交电子文档。全部工程竣工后，乙方应向甲方移交试验检测报告。 </w:t>
      </w:r>
    </w:p>
    <w:p w14:paraId="4A30D25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2.10 在合同期内，未经甲方同意，不得随意更换人员。若确因特殊原因需要更换项目负责人或技术负责人时，须提前 7 天提交与拟更换人员具备同等或更高资质的人员资质报甲方批准，经甲方批准后更换。乙方违反本条，甲方有权收取每日【1000】元的违约金直至乙方整改完毕。 </w:t>
      </w:r>
    </w:p>
    <w:p w14:paraId="32BA6E6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2.11 如甲方认为乙方人员不称职，应以书面形式通知乙方；乙方在收到通知一周内必须按甲方的要求更换人员。乙方更换的人员应具备同等或更高的资质，并需获得甲方批准。乙方违反本条，甲方有权收取每日【1000】元的违约金直至乙方整改完毕。 </w:t>
      </w:r>
    </w:p>
    <w:p w14:paraId="17D0975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2.12 乙方应按照投标文件的承诺保证设备及办公设施的到位，满足现场试验检测工作需要。 </w:t>
      </w:r>
    </w:p>
    <w:p w14:paraId="2A71B3A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2.13 乙方须对送检的试件按要求进行养护或保护，及时、准确地提交试验检测报告，保证试验检测报告客观、公正，并对试验检测报告的准确性负责。 </w:t>
      </w:r>
    </w:p>
    <w:p w14:paraId="582064F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2.14 乙方应建立相对独立的资料管理体系。对所有试验检测报告、技术档案等资料应及时分类、整理后存档。资料管理应有专人负责，以便查找和使用。 </w:t>
      </w:r>
    </w:p>
    <w:p w14:paraId="42C2133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2.15 做好试验检测台帐和原始记录，并妥善保管好各类技术资料。 </w:t>
      </w:r>
    </w:p>
    <w:p w14:paraId="5B4C4D2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2.16 在履行合同过程中，乙方应遵守有关法律、法规以及有关主管部门的规章，并按照其要求支付所有费用，此费用已含在合同总价中。 </w:t>
      </w:r>
    </w:p>
    <w:p w14:paraId="30875FD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2.17 乙方应为实施试验检测工作提供所需的全部劳务、设备、材料以及所有其他物品。 </w:t>
      </w:r>
    </w:p>
    <w:p w14:paraId="120619F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2.18 乙方对所有技术方法的完备性、稳定性和安全性承担全部责任，对其所有工作人员工作中的失误、疏忽、玩忽职守承担全部责任。 </w:t>
      </w:r>
    </w:p>
    <w:p w14:paraId="057EEDE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2.19 在合同执行过程中产生的所有试验检测报告的所有权、著作权均属甲方，乙方有保密的义务，未经甲方同意，不得将试验检测结果提供给第三方。 </w:t>
      </w:r>
    </w:p>
    <w:p w14:paraId="05E65E6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2.20 乙方如需查阅本工程的有关资料，应征得甲方同意。 </w:t>
      </w:r>
    </w:p>
    <w:p w14:paraId="2C480A88">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2.21 在整个服务期间，乙方自身的人员工伤事故的保险、人身意外伤害险、设备保险由乙方自行投保，相关费用已包含在合同总价中，并向甲方提供保险凭证。 </w:t>
      </w:r>
    </w:p>
    <w:p w14:paraId="3301727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2.22 对不合格品及时向甲方报告。 </w:t>
      </w:r>
    </w:p>
    <w:p w14:paraId="11E84D59">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三、检测程序及要求 </w:t>
      </w:r>
    </w:p>
    <w:p w14:paraId="093DFAD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1、中心试验室的主要工作内容包括：验证试验、标准试验、工艺试验、抽样试验、验收试验等。 </w:t>
      </w:r>
    </w:p>
    <w:p w14:paraId="1768AFD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甲方明确检测标准（可以是国家标准、行业标准或企业标准）的情况下，按甲方指定标准进行检测；甲方未明确检测标准，检测内容、检测深度符合国家要求达到合格标准或按工程施工验收规定的标准执行，并提供真实、准确的检测报告和评估结论且满足项目竣工验收的需要。 </w:t>
      </w:r>
    </w:p>
    <w:p w14:paraId="3FC0ABA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3、乙方如将业务分包必须征得甲方的书面同意。 </w:t>
      </w:r>
    </w:p>
    <w:p w14:paraId="349B1FE2">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报告内容：乙方应当依照规定的时间出具报告。乙方必须对出具的报告的真实性、完整性、准确性负责。报告的内容应包括委托方名称、工程名称、地点、服务的具体部位、依据、数量、日期和现场的相关记录等。 </w:t>
      </w:r>
    </w:p>
    <w:p w14:paraId="75E7514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5、报告分送：乙方出具的报告，须在规定时间内分别送达甲方（工程部和审计部）、施工、监理单位，如遇有不合格结果，必须事先通知甲方、监理、施工单位。 </w:t>
      </w:r>
    </w:p>
    <w:p w14:paraId="4942C39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6、报告编号：一个工程内的服务报告须统一从 0001 号依次连续编号（NO：0000 写于检测报告的左上方），连同甲方代表签发的项目联系单，检测报告一式四份。 </w:t>
      </w:r>
    </w:p>
    <w:p w14:paraId="05454398">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四、履行方式及期限 </w:t>
      </w:r>
    </w:p>
    <w:p w14:paraId="0705A3A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合同的履行期限自2026 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日开始，至工程竣工、甲方付清合同余款及乙方向甲方提交全部检测报告止。乙方须在接到甲方的通知之日起，乙方必须在 24 小时内到达施工现场进行检测。本合同的履行期限自工程开工始，至工程竣工、甲方付清合同余款及乙方向甲方提交检测报告止。如逾期提供成果，按每逾期一天处以该项目服务费用人民币 1000 元的违约金。 </w:t>
      </w:r>
    </w:p>
    <w:p w14:paraId="07DA663B">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五、合同价款和支付方式 </w:t>
      </w:r>
    </w:p>
    <w:p w14:paraId="29F42AFF">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1、服务费结算价=在规定收费标准的基础上乘以中标费率</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%，本检测项目原则上按苏价服[2001]113 号《江苏省建设工程质量检测和建筑材料试验收费标准》，其中基桩低应变动力测试（声波投射法），按苏交质【2007】71 号文收费标准结算。苏价服[2001]113 号文中无检测项目收费标准的（基桩低应变动力测试（声波投射法）除外），参照苏交质【2007】71 号文，上述文件均无检测项目收费标准的，参照盐检协(2016)06 号文中检测项目收费标准（参照时按盐检协(2016)06 号文检测项目收费标准×0.7×中标费率）。按“苏价服〔2001〕 </w:t>
      </w:r>
    </w:p>
    <w:p w14:paraId="2D7A6CA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113 号”结算时，基桩静载检测(堆载法)的检测费用结算取用的荷重为桩基设计极限承载力标准值(极限值)Qk”。 </w:t>
      </w:r>
    </w:p>
    <w:p w14:paraId="2C0BC6E2">
      <w:pPr>
        <w:keepNext w:val="0"/>
        <w:keepLines w:val="0"/>
        <w:widowControl/>
        <w:suppressLineNumbers w:val="0"/>
        <w:spacing w:line="360" w:lineRule="auto"/>
        <w:ind w:firstLine="482" w:firstLineChars="200"/>
        <w:jc w:val="left"/>
      </w:pPr>
      <w:r>
        <w:rPr>
          <w:rFonts w:hint="eastAsia" w:ascii="宋体" w:hAnsi="宋体" w:eastAsia="宋体" w:cs="宋体"/>
          <w:b/>
          <w:bCs/>
          <w:color w:val="000000"/>
          <w:kern w:val="0"/>
          <w:sz w:val="24"/>
          <w:szCs w:val="24"/>
          <w:lang w:val="en-US" w:eastAsia="zh-CN" w:bidi="ar"/>
        </w:rPr>
        <w:t xml:space="preserve">注：本项目桩基检测实施过程中,如发生双倍以上频率检测的（具体检测方式由发包人决定）,静载检测项目按上述结算方式进行结算;除静载检测项目之外的其他桩基检测项目(如低应变检、高应变检测等)只按规定的桩数总数量的 30%以内（含 30%）频率结算，超出数量不予结算。 </w:t>
      </w:r>
    </w:p>
    <w:p w14:paraId="488D9E9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2、工程服务费用由已完成项目工程量各项服务发生的费用累计。 </w:t>
      </w:r>
    </w:p>
    <w:p w14:paraId="0A630B3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3、完成全部检测内容并出具检测报告经甲方确认无误后支付全部检测款项。付款前，乙方需提供合法有效的增值税专用发票。乙方未按约定开票，甲方有权顺延付款不构成违约。 </w:t>
      </w:r>
    </w:p>
    <w:p w14:paraId="4A9CF35F">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六、安全执业 </w:t>
      </w:r>
    </w:p>
    <w:p w14:paraId="5580333F">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乙方进场开展检测工作，应符合国家、行业管理相关规定，严格按照安全操作规程实施安全检测，且服务期间不得影响正常办公、生产和用电、用水。乙方在此项服务过程中，自行做好安全防护工作，所有安全责任自负。凡是乙方原因造成的人身意外伤害或安全事故等一切安全事故，或相关一切费用或民事、刑事责任，均由乙方自行负责，与甲方无关。若乙方不能及时处理所发生的问题和责任，并且影响到工程进度时，甲方有权处理相关事务，所发生的费用在履约保证金中扣除。 </w:t>
      </w:r>
    </w:p>
    <w:p w14:paraId="772757DA">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七、争议解决 </w:t>
      </w:r>
    </w:p>
    <w:p w14:paraId="26BB3EA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本合同履行中发生争议，甲、乙双方当事人应及时协商解决；也可由当地行政主管部门申请调解；调解不成的，可向项目所在地（即，甲方所在地）的人民法院裁决。 </w:t>
      </w:r>
    </w:p>
    <w:p w14:paraId="616ED6A4">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八、违约责任 </w:t>
      </w:r>
    </w:p>
    <w:p w14:paraId="1E18933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1、在合同履行期间，甲方要求终止或解除合同，乙方已开始服务工作的，甲方应根据乙方已进行的实际工作量支付费用。 </w:t>
      </w:r>
    </w:p>
    <w:p w14:paraId="6ECE96D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 、乙方提供的资料及文件出现的遗漏或错误的，均由乙方自行负责修改或补充（工期含在整个服务工期内）。由于乙方原因造成工程质量事故或损失，乙方除负责采取补救措施外，应免收直接受损失部分的服务费，并处以人民币3000元/次的罚款。 </w:t>
      </w:r>
    </w:p>
    <w:p w14:paraId="02FDDE46">
      <w:pPr>
        <w:keepNext w:val="0"/>
        <w:keepLines w:val="0"/>
        <w:widowControl/>
        <w:suppressLineNumbers w:val="0"/>
        <w:spacing w:line="360" w:lineRule="auto"/>
        <w:ind w:firstLine="482" w:firstLineChars="200"/>
        <w:jc w:val="left"/>
      </w:pPr>
      <w:r>
        <w:rPr>
          <w:rFonts w:hint="eastAsia" w:ascii="宋体" w:hAnsi="宋体" w:eastAsia="宋体" w:cs="宋体"/>
          <w:b/>
          <w:bCs/>
          <w:color w:val="000000"/>
          <w:kern w:val="0"/>
          <w:sz w:val="24"/>
          <w:szCs w:val="24"/>
          <w:lang w:val="en-US" w:eastAsia="zh-CN" w:bidi="ar"/>
        </w:rPr>
        <w:t xml:space="preserve">3、本项目实施过程中发包人将对现场的相关材料安排第三方进行平行抽检，抽检结果与服务单位提供的检测报告不一致的，或者出具虚假报告的，将处以5000元/次的罚款。 </w:t>
      </w:r>
    </w:p>
    <w:p w14:paraId="4343709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4、由于乙方自身原因，造成服务期限延误，每延误一天，应减收该项目应收服务费的人民币贰千元执行。 </w:t>
      </w:r>
    </w:p>
    <w:p w14:paraId="3B190682">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5、合同生效后，乙方要求终止或解除合同，乙方应向甲方返还已收取的服务费。 </w:t>
      </w:r>
    </w:p>
    <w:p w14:paraId="2F388527">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九、补充条款 </w:t>
      </w:r>
    </w:p>
    <w:p w14:paraId="7697C30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1、在履行合同过程中，乙方应遵守国家或地方的法律、法规、规章、条例、规范性文件或任何对工程有管辖权的部门的规章，并按要求支付有关费用。 </w:t>
      </w:r>
    </w:p>
    <w:p w14:paraId="74C25E2C">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在项目实施过程中，甲方如发现挂靠施工的或转包、违法分包的，或中标项目负责人不是真正在现场实施工程管理的，可以立即无责任终止合同，没收乙方履约保证金，清退其出场，已完工程量不予结算；对甲方的损失，由乙方加倍赔偿。 </w:t>
      </w:r>
    </w:p>
    <w:p w14:paraId="5CA472C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3、无论甲方是否给予了批准或同意，乙方应对现场作业、施工方法及所施工工程的完备性、稳定性和安全性承担全部责任，负责完成对工程的稳定、完整、安全、可靠及有效运行所必须的全部工作。 </w:t>
      </w:r>
    </w:p>
    <w:p w14:paraId="267FD438">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乙方自行承担工程施工过程中的工程质量、任何状况下的安全责任。非甲方原因，发生的一切问题和责任与甲方无关，相关一切费用或民事、刑事责任均由乙方自理。若乙方不能及时处理所发生的问题和责任，并且影响到工程进度时，甲方有权处理相关事务，所发生的费用在支付工程款时扣除。 </w:t>
      </w:r>
    </w:p>
    <w:p w14:paraId="33A8108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5、在本合同履行过程中，如乙方发生如下情形之一，甲方将视乙方严重违约，立即解除合同，冻结专户资金，乙方承担违约责任并承担由此造成的一切损失，乙方在现场的人员无条件退场，乙方在现场的设备和材料无条件供甲方使用，其设备租金和材料价值待仲裁机构裁定后，如有剩余，在仲裁生效后7天内支付。 </w:t>
      </w:r>
    </w:p>
    <w:p w14:paraId="311AA3D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⑴ 中标工程转包或违法分包给他人施工； </w:t>
      </w:r>
    </w:p>
    <w:p w14:paraId="3EA1785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⑵ 停工或拖延施工进度或影响施工质量； </w:t>
      </w:r>
    </w:p>
    <w:p w14:paraId="0DC0AE7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⑶ 无正当理由，单方面要挟甲方提高合同价款； </w:t>
      </w:r>
    </w:p>
    <w:p w14:paraId="35D9259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⑷ 无正当理由，单方面要挟甲方给予某种补偿。 </w:t>
      </w:r>
    </w:p>
    <w:p w14:paraId="4BBF45E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6、施工过程中的排污、环保、市容、城建城管、消防、治安、人口管理等办理相关手续以及对临近居民、行人的影响等，由乙方负责协调处理，并承担相关的费用。 </w:t>
      </w:r>
    </w:p>
    <w:p w14:paraId="4780B011">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7、工程价款一律通过银行非现金结算。 </w:t>
      </w:r>
    </w:p>
    <w:p w14:paraId="640B2AF8">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十、其它 </w:t>
      </w:r>
    </w:p>
    <w:p w14:paraId="5F0F2D9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1、合同自双方代表签字盖章之日起生效，自双方的主要义务履行完毕之日起终止。 </w:t>
      </w:r>
    </w:p>
    <w:p w14:paraId="7F08FD5C">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2、合同未尽事宜由双方协商解决。 </w:t>
      </w:r>
    </w:p>
    <w:p w14:paraId="613787C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3、合同一式捌份，甲方伍份，乙方叁份，具有同等法律效力。 </w:t>
      </w:r>
    </w:p>
    <w:p w14:paraId="147C57A0">
      <w:pPr>
        <w:keepNext w:val="0"/>
        <w:keepLines w:val="0"/>
        <w:widowControl/>
        <w:suppressLineNumbers w:val="0"/>
        <w:spacing w:line="360" w:lineRule="auto"/>
        <w:ind w:firstLine="480" w:firstLineChars="200"/>
        <w:jc w:val="left"/>
        <w:rPr>
          <w:rFonts w:hint="default"/>
          <w:lang w:val="en-US"/>
        </w:rPr>
      </w:pPr>
      <w:r>
        <w:rPr>
          <w:rFonts w:hint="eastAsia" w:ascii="宋体" w:hAnsi="宋体" w:eastAsia="宋体" w:cs="宋体"/>
          <w:color w:val="000000"/>
          <w:kern w:val="0"/>
          <w:sz w:val="24"/>
          <w:szCs w:val="24"/>
          <w:lang w:val="en-US" w:eastAsia="zh-CN" w:bidi="ar"/>
        </w:rPr>
        <w:t>甲方（签章）：                     乙方（签章）：</w:t>
      </w:r>
    </w:p>
    <w:p w14:paraId="048BF14C">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法定代表人（签字或盖章）：         法定代表人（签字或盖章）：</w:t>
      </w:r>
    </w:p>
    <w:p w14:paraId="6CFD131F">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开户银行：                         开户银行： </w:t>
      </w:r>
    </w:p>
    <w:p w14:paraId="54F3FE85">
      <w:pPr>
        <w:keepNext w:val="0"/>
        <w:keepLines w:val="0"/>
        <w:widowControl/>
        <w:suppressLineNumbers w:val="0"/>
        <w:spacing w:line="360" w:lineRule="auto"/>
        <w:ind w:firstLine="480" w:firstLineChars="200"/>
        <w:jc w:val="left"/>
        <w:rPr>
          <w:rFonts w:hint="default"/>
          <w:lang w:val="en-US"/>
        </w:rPr>
      </w:pPr>
      <w:r>
        <w:rPr>
          <w:rFonts w:hint="eastAsia" w:ascii="宋体" w:hAnsi="宋体" w:eastAsia="宋体" w:cs="宋体"/>
          <w:color w:val="000000"/>
          <w:kern w:val="0"/>
          <w:sz w:val="24"/>
          <w:szCs w:val="24"/>
          <w:lang w:val="en-US" w:eastAsia="zh-CN" w:bidi="ar"/>
        </w:rPr>
        <w:t>账号：                             账号：</w:t>
      </w:r>
    </w:p>
    <w:p w14:paraId="5987968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2026 年 月 日</w:t>
      </w:r>
    </w:p>
    <w:p w14:paraId="16FE2035">
      <w:pPr>
        <w:rPr>
          <w:rFonts w:hint="default" w:cstheme="minorBidi"/>
          <w:color w:val="auto"/>
          <w:kern w:val="2"/>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Mjk4M2MxODNhMTI0OWM1NWYyOWQwYzJmMTNlM2I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03B6E"/>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3E4434"/>
    <w:rsid w:val="01505F15"/>
    <w:rsid w:val="01E118B0"/>
    <w:rsid w:val="029D33DC"/>
    <w:rsid w:val="034B2E38"/>
    <w:rsid w:val="048E7480"/>
    <w:rsid w:val="05831602"/>
    <w:rsid w:val="071D4AEC"/>
    <w:rsid w:val="074438CD"/>
    <w:rsid w:val="07CE2BC3"/>
    <w:rsid w:val="09D04097"/>
    <w:rsid w:val="0A4F76B2"/>
    <w:rsid w:val="0A6F4340"/>
    <w:rsid w:val="0B195170"/>
    <w:rsid w:val="0DA665D0"/>
    <w:rsid w:val="0F5E7E3E"/>
    <w:rsid w:val="111E1B8C"/>
    <w:rsid w:val="13BC1734"/>
    <w:rsid w:val="13E40E6B"/>
    <w:rsid w:val="151250D2"/>
    <w:rsid w:val="161D2412"/>
    <w:rsid w:val="188629E4"/>
    <w:rsid w:val="19DB038C"/>
    <w:rsid w:val="1A6920CA"/>
    <w:rsid w:val="1A937147"/>
    <w:rsid w:val="1C874A89"/>
    <w:rsid w:val="1C8B37EB"/>
    <w:rsid w:val="1D7E25E8"/>
    <w:rsid w:val="1DE101C9"/>
    <w:rsid w:val="1FA52381"/>
    <w:rsid w:val="20AC4ABE"/>
    <w:rsid w:val="224C6559"/>
    <w:rsid w:val="226715E5"/>
    <w:rsid w:val="22E04EF3"/>
    <w:rsid w:val="22E744D4"/>
    <w:rsid w:val="22F97D63"/>
    <w:rsid w:val="23A91789"/>
    <w:rsid w:val="258C4EBE"/>
    <w:rsid w:val="2635037A"/>
    <w:rsid w:val="277B343D"/>
    <w:rsid w:val="286D43B3"/>
    <w:rsid w:val="29451A9A"/>
    <w:rsid w:val="2C5524AE"/>
    <w:rsid w:val="2C5A1872"/>
    <w:rsid w:val="2D0F6B83"/>
    <w:rsid w:val="2DEE2BBA"/>
    <w:rsid w:val="2E690C00"/>
    <w:rsid w:val="2E9501E9"/>
    <w:rsid w:val="307B44AD"/>
    <w:rsid w:val="315A2315"/>
    <w:rsid w:val="373C0842"/>
    <w:rsid w:val="38C70290"/>
    <w:rsid w:val="3A520308"/>
    <w:rsid w:val="3AC32CD9"/>
    <w:rsid w:val="3CF44222"/>
    <w:rsid w:val="3D4F6AA6"/>
    <w:rsid w:val="3D94095C"/>
    <w:rsid w:val="3E0D0275"/>
    <w:rsid w:val="3E2A79A7"/>
    <w:rsid w:val="3EA13331"/>
    <w:rsid w:val="3EB219E2"/>
    <w:rsid w:val="3FCD605B"/>
    <w:rsid w:val="3FDB2873"/>
    <w:rsid w:val="400E2C48"/>
    <w:rsid w:val="41EF2605"/>
    <w:rsid w:val="42C67FDF"/>
    <w:rsid w:val="446F7A2D"/>
    <w:rsid w:val="44CD5688"/>
    <w:rsid w:val="45444B57"/>
    <w:rsid w:val="45C75D73"/>
    <w:rsid w:val="46276120"/>
    <w:rsid w:val="468A5331"/>
    <w:rsid w:val="481608EC"/>
    <w:rsid w:val="4A87260C"/>
    <w:rsid w:val="4BA31446"/>
    <w:rsid w:val="4BC32B39"/>
    <w:rsid w:val="4C2C6DB1"/>
    <w:rsid w:val="4CA7245A"/>
    <w:rsid w:val="4CAF7C4A"/>
    <w:rsid w:val="4FA71C3F"/>
    <w:rsid w:val="4FCE7CFE"/>
    <w:rsid w:val="4FED287A"/>
    <w:rsid w:val="50334005"/>
    <w:rsid w:val="50BB7B5F"/>
    <w:rsid w:val="51DB1186"/>
    <w:rsid w:val="523C4674"/>
    <w:rsid w:val="52A01E26"/>
    <w:rsid w:val="52B21B59"/>
    <w:rsid w:val="52D4036E"/>
    <w:rsid w:val="547F146C"/>
    <w:rsid w:val="54AA6F8B"/>
    <w:rsid w:val="54B91572"/>
    <w:rsid w:val="55096BAC"/>
    <w:rsid w:val="554D57DE"/>
    <w:rsid w:val="55713605"/>
    <w:rsid w:val="56004989"/>
    <w:rsid w:val="567F61F6"/>
    <w:rsid w:val="56867584"/>
    <w:rsid w:val="56F52014"/>
    <w:rsid w:val="59683D55"/>
    <w:rsid w:val="596F145A"/>
    <w:rsid w:val="5A1F7AD4"/>
    <w:rsid w:val="5A24647E"/>
    <w:rsid w:val="5A513A05"/>
    <w:rsid w:val="5A9606EA"/>
    <w:rsid w:val="5D610403"/>
    <w:rsid w:val="5E9203C2"/>
    <w:rsid w:val="60341DFF"/>
    <w:rsid w:val="60EE6452"/>
    <w:rsid w:val="613F280A"/>
    <w:rsid w:val="61903065"/>
    <w:rsid w:val="646F3406"/>
    <w:rsid w:val="649B244D"/>
    <w:rsid w:val="64AE394D"/>
    <w:rsid w:val="65053D6A"/>
    <w:rsid w:val="6660394E"/>
    <w:rsid w:val="6670437E"/>
    <w:rsid w:val="6732696D"/>
    <w:rsid w:val="69935DE8"/>
    <w:rsid w:val="6A3B129C"/>
    <w:rsid w:val="6C2C6080"/>
    <w:rsid w:val="6E22598D"/>
    <w:rsid w:val="6E61380A"/>
    <w:rsid w:val="706A53C9"/>
    <w:rsid w:val="71811EAF"/>
    <w:rsid w:val="71D92806"/>
    <w:rsid w:val="73CB43D1"/>
    <w:rsid w:val="76A74C8A"/>
    <w:rsid w:val="76D637B8"/>
    <w:rsid w:val="7808209B"/>
    <w:rsid w:val="78727511"/>
    <w:rsid w:val="78BC253A"/>
    <w:rsid w:val="7C0F6613"/>
    <w:rsid w:val="7D221505"/>
    <w:rsid w:val="7FD10FC1"/>
    <w:rsid w:val="7FDE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1116</Words>
  <Characters>1198</Characters>
  <Lines>10</Lines>
  <Paragraphs>2</Paragraphs>
  <TotalTime>19</TotalTime>
  <ScaleCrop>false</ScaleCrop>
  <LinksUpToDate>false</LinksUpToDate>
  <CharactersWithSpaces>1851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梁跃</cp:lastModifiedBy>
  <dcterms:modified xsi:type="dcterms:W3CDTF">2026-03-26T08:34:12Z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E026313E9C4C42448434308D0BFEA245_13</vt:lpwstr>
  </property>
  <property fmtid="{D5CDD505-2E9C-101B-9397-08002B2CF9AE}" pid="4" name="KSOTemplateDocerSaveRecord">
    <vt:lpwstr>eyJoZGlkIjoiNTU1MDBkMWI2MmNkNjFiMTI3NWUwZDQ0OWY1MDI5M2QiLCJ1c2VySWQiOiI2OTE0MTcyNjcifQ==</vt:lpwstr>
  </property>
</Properties>
</file>